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黑体" w:eastAsia="方正小标宋_GBK" w:cs="Times New Roman"/>
          <w:kern w:val="2"/>
          <w:sz w:val="44"/>
          <w:szCs w:val="44"/>
          <w:lang w:val="en-US" w:eastAsia="zh-CN" w:bidi="ar-SA"/>
        </w:rPr>
      </w:pPr>
      <w:bookmarkStart w:id="0" w:name="_GoBack"/>
      <w:r>
        <w:rPr>
          <w:rFonts w:hint="eastAsia" w:ascii="方正小标宋_GBK" w:hAnsi="黑体" w:eastAsia="方正小标宋_GBK" w:cs="Times New Roman"/>
          <w:kern w:val="2"/>
          <w:sz w:val="44"/>
          <w:szCs w:val="44"/>
          <w:lang w:val="en-US" w:eastAsia="zh-CN" w:bidi="ar-SA"/>
        </w:rPr>
        <w:t>高耗能特种设备节能管理制度</w:t>
      </w:r>
    </w:p>
    <w:bookmarkEnd w:id="0"/>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1严格执行有关法律、法规、特种设备安全技术规范和标准的要求，确保设备及其相关系统安全、经济运行。不得使用不符合安全性能要求和能效指标的特种设备，以及国家产业政策明令淘汰的特种设备。对在用国家明令淘汰的高耗能特种设备，应当在规定的期限内予以改造或者更换。到期未改造或者更换的，不得继续使用。</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2高耗能特种设备，按照有关特种设备安全技术规范、标准或者出厂文件的要求配备、安装辅机设备和能效监控装置、能源计量器具，并记录相关数据。</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3 建立高耗能特种设备安全技术档案，至少应当包括以下内容：</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(1)含有设计能效指标的设计文件；</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(2)能效测试报告；</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(3)设备经济运行文件和操作说明书；</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(4)日常运行能效监控记录、能耗状况记录；</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(5)节能改造技术资料；</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(6)能效定期监察记录。</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4 开展节能教育和培训，提高作业人员的节能意识和操作水平，确保特种设备安全、经济运行。对特种设备作业人员进行特种设备安全、节能管理知识教育和节能操作技能培训，保证特种设备作业人员具备必要的特种设备安全、节能知识。高耗能特种设备的作业人员应当严格执行操作规程和节能管理制度。</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r>
        <w:rPr>
          <w:rFonts w:hint="eastAsia" w:ascii="黑体" w:hAnsi="黑体" w:eastAsia="宋体" w:cs="Times New Roman"/>
          <w:color w:val="000000"/>
          <w:kern w:val="2"/>
          <w:sz w:val="32"/>
          <w:szCs w:val="32"/>
          <w:lang w:val="en-US" w:eastAsia="zh-CN"/>
        </w:rPr>
        <w:t>5 定期向相关检测机构申请对特种设备安全性能检验和能效测试，高耗能特种设备及其系统的运行能效不符合特种设备安全技术规范等有关规范和标准要求的，应当分析原因，采取有效措施，实施整改或者节能改造。整改或者改造后仍不符合能效指标要求的，不得继续使用，及时办理停用手续。</w:t>
      </w:r>
    </w:p>
    <w:p>
      <w:pPr>
        <w:keepNext w:val="0"/>
        <w:keepLines w:val="0"/>
        <w:pageBreakBefore w:val="0"/>
        <w:widowControl w:val="0"/>
        <w:kinsoku/>
        <w:wordWrap/>
        <w:overflowPunct/>
        <w:topLinePunct w:val="0"/>
        <w:autoSpaceDE/>
        <w:autoSpaceDN/>
        <w:bidi w:val="0"/>
        <w:adjustRightInd/>
        <w:snapToGrid/>
        <w:spacing w:after="0" w:line="600" w:lineRule="exact"/>
        <w:ind w:left="319" w:leftChars="152" w:firstLine="652" w:firstLineChars="204"/>
        <w:jc w:val="left"/>
        <w:textAlignment w:val="auto"/>
        <w:rPr>
          <w:rFonts w:hint="eastAsia" w:ascii="黑体" w:hAnsi="黑体" w:eastAsia="宋体" w:cs="Times New Roman"/>
          <w:color w:val="000000"/>
          <w:kern w:val="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xMGQ2Y2JjMzEwN2RkYmY1ZjFmYzAyNWNlZGY2OTkifQ=="/>
  </w:docVars>
  <w:rsids>
    <w:rsidRoot w:val="3DC735F6"/>
    <w:rsid w:val="3DC73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rPr>
      <w:rFonts w:ascii="Times New Roman" w:hAnsi="Times New Roman" w:eastAsia="宋体" w:cs="Times New Roman"/>
    </w:rPr>
  </w:style>
  <w:style w:type="paragraph" w:styleId="3">
    <w:name w:val="Body Text Indent"/>
    <w:basedOn w:val="1"/>
    <w:qFormat/>
    <w:uiPriority w:val="99"/>
    <w:pPr>
      <w:ind w:firstLine="456" w:firstLineChars="163"/>
    </w:pPr>
    <w:rPr>
      <w:rFonts w:ascii="宋体" w:hAns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2022-06-16T08:49:00Z</dcterms:created>
  <dc:creator>DYTJK</dc:creator>
  <cp:lastModifiedBy>DYTJK</cp:lastModifiedBy>
  <dcterms:modified xsi:type="dcterms:W3CDTF">2022-06-16T08:55:35Z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8C12ADCBD6BA4037AFB01F303DD4E918</vt:lpwstr>
  </property>
</Properties>
</file>